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hd w:val="clear" w:color="auto" w:fill="ffffff"/>
        <w:spacing w:after="0" w:line="240" w:lineRule="auto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2948939</wp:posOffset>
            </wp:positionH>
            <wp:positionV relativeFrom="line">
              <wp:posOffset>0</wp:posOffset>
            </wp:positionV>
            <wp:extent cx="3088005" cy="137541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1375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hd w:val="clear" w:color="auto" w:fill="ffffff"/>
        <w:spacing w:after="0" w:line="240" w:lineRule="auto"/>
        <w:rPr>
          <w:color w:val="000000"/>
          <w:sz w:val="28"/>
          <w:szCs w:val="28"/>
          <w:u w:color="000000"/>
        </w:rPr>
      </w:pPr>
    </w:p>
    <w:p>
      <w:pPr>
        <w:pStyle w:val="Body"/>
        <w:shd w:val="clear" w:color="auto" w:fill="ffffff"/>
        <w:spacing w:after="0" w:line="240" w:lineRule="auto"/>
        <w:rPr>
          <w:b w:val="1"/>
          <w:bCs w:val="1"/>
          <w:color w:val="000000"/>
          <w:sz w:val="32"/>
          <w:szCs w:val="32"/>
          <w:u w:color="000000"/>
        </w:rPr>
      </w:pPr>
      <w:r>
        <w:rPr>
          <w:b w:val="1"/>
          <w:bCs w:val="1"/>
          <w:color w:val="000000"/>
          <w:sz w:val="32"/>
          <w:szCs w:val="32"/>
          <w:u w:color="000000"/>
          <w:rtl w:val="0"/>
          <w:lang w:val="pt-PT"/>
        </w:rPr>
        <w:t>TAX RECEIPT</w:t>
      </w:r>
    </w:p>
    <w:p>
      <w:pPr>
        <w:pStyle w:val="Body"/>
        <w:shd w:val="clear" w:color="auto" w:fill="ffffff"/>
        <w:spacing w:after="0" w:line="240" w:lineRule="auto"/>
        <w:rPr>
          <w:color w:val="000000"/>
          <w:sz w:val="24"/>
          <w:szCs w:val="24"/>
          <w:u w:color="000000"/>
        </w:rPr>
      </w:pPr>
    </w:p>
    <w:p>
      <w:pPr>
        <w:pStyle w:val="Body"/>
        <w:shd w:val="clear" w:color="auto" w:fill="ffffff"/>
        <w:spacing w:after="0" w:line="240" w:lineRule="auto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Please print and retain for your records</w:t>
      </w:r>
    </w:p>
    <w:p>
      <w:pPr>
        <w:pStyle w:val="Body"/>
        <w:shd w:val="clear" w:color="auto" w:fill="ffffff"/>
        <w:spacing w:after="0" w:line="240" w:lineRule="auto"/>
        <w:rPr>
          <w:color w:val="000000"/>
          <w:sz w:val="24"/>
          <w:szCs w:val="24"/>
          <w:u w:color="000000"/>
        </w:rPr>
      </w:pPr>
    </w:p>
    <w:p>
      <w:pPr>
        <w:pStyle w:val="Body"/>
        <w:shd w:val="clear" w:color="auto" w:fill="ffffff"/>
        <w:spacing w:after="0" w:line="240" w:lineRule="auto"/>
        <w:rPr>
          <w:b w:val="1"/>
          <w:bCs w:val="1"/>
          <w:color w:val="000000"/>
          <w:sz w:val="24"/>
          <w:szCs w:val="24"/>
          <w:u w:color="000000"/>
        </w:rPr>
      </w:pP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 xml:space="preserve">Monarch HS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Band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nl-NL"/>
        </w:rPr>
        <w:t xml:space="preserve"> Boosters</w:t>
      </w:r>
    </w:p>
    <w:p>
      <w:pPr>
        <w:pStyle w:val="Body"/>
        <w:shd w:val="clear" w:color="auto" w:fill="ffffff"/>
        <w:spacing w:after="0" w:line="240" w:lineRule="auto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Tax ID 81-0598147</w:t>
      </w:r>
    </w:p>
    <w:p>
      <w:pPr>
        <w:pStyle w:val="Body"/>
        <w:shd w:val="clear" w:color="auto" w:fill="ffffff"/>
        <w:spacing w:after="0" w:line="240" w:lineRule="auto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329 Campus Drive</w:t>
      </w:r>
    </w:p>
    <w:p>
      <w:pPr>
        <w:pStyle w:val="Body"/>
        <w:shd w:val="clear" w:color="auto" w:fill="ffffff"/>
        <w:spacing w:after="0" w:line="240" w:lineRule="auto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da-DK"/>
        </w:rPr>
        <w:t>Louisville CO 80027</w:t>
      </w:r>
    </w:p>
    <w:p>
      <w:pPr>
        <w:pStyle w:val="Body"/>
        <w:shd w:val="clear" w:color="auto" w:fill="ffffff"/>
        <w:spacing w:after="0" w:line="240" w:lineRule="auto"/>
        <w:rPr>
          <w:color w:val="000000"/>
          <w:sz w:val="28"/>
          <w:szCs w:val="28"/>
          <w:u w:color="000000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purpose of the </w:t>
      </w:r>
      <w:r>
        <w:rPr>
          <w:sz w:val="24"/>
          <w:szCs w:val="24"/>
          <w:rtl w:val="0"/>
          <w:lang w:val="en-US"/>
        </w:rPr>
        <w:t>Band</w:t>
      </w:r>
      <w:r>
        <w:rPr>
          <w:sz w:val="24"/>
          <w:szCs w:val="24"/>
          <w:rtl w:val="0"/>
          <w:lang w:val="en-US"/>
        </w:rPr>
        <w:t xml:space="preserve"> Boosters is to provide support for the Monarch High School Instrumental Music programs financially and to support music education in general at Monarch High School by: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Coordinating, organizing and running fundraising efforts and donation campaigns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Helping to provide for needs within the Monarch Music Department  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Supporting students in competitions and events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Receiving funds, developing budgets, and managing expenses for each ensemble within the Instrumental Music program.</w:t>
      </w:r>
    </w:p>
    <w:p>
      <w:pPr>
        <w:pStyle w:val="Body"/>
        <w:spacing w:after="0" w:line="240" w:lineRule="auto"/>
        <w:ind w:left="720" w:firstLine="0"/>
        <w:rPr>
          <w:sz w:val="24"/>
          <w:szCs w:val="24"/>
        </w:rPr>
      </w:pPr>
    </w:p>
    <w:p>
      <w:pPr>
        <w:pStyle w:val="Body"/>
        <w:spacing w:after="0" w:line="240" w:lineRule="auto"/>
        <w:ind w:left="720" w:firstLine="0"/>
      </w:pPr>
    </w:p>
    <w:p>
      <w:pPr>
        <w:pStyle w:val="Body"/>
        <w:shd w:val="clear" w:color="auto" w:fill="ffffff"/>
        <w:spacing w:after="0" w:line="240" w:lineRule="auto"/>
        <w:rPr>
          <w:b w:val="1"/>
          <w:bCs w:val="1"/>
          <w:color w:val="000000"/>
          <w:sz w:val="24"/>
          <w:szCs w:val="24"/>
          <w:u w:color="000000"/>
        </w:rPr>
      </w:pP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Items donated: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 xml:space="preserve">  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________________________________________________________</w:t>
      </w:r>
    </w:p>
    <w:p>
      <w:pPr>
        <w:pStyle w:val="Body"/>
        <w:shd w:val="clear" w:color="auto" w:fill="ffffff"/>
        <w:spacing w:after="0" w:line="240" w:lineRule="auto"/>
        <w:rPr>
          <w:b w:val="1"/>
          <w:bCs w:val="1"/>
          <w:color w:val="000000"/>
          <w:sz w:val="24"/>
          <w:szCs w:val="24"/>
          <w:u w:color="000000"/>
        </w:rPr>
      </w:pP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Estimated value:</w:t>
        <w:tab/>
        <w:t>$ __________________</w:t>
      </w:r>
    </w:p>
    <w:p>
      <w:pPr>
        <w:pStyle w:val="Body"/>
        <w:shd w:val="clear" w:color="auto" w:fill="ffffff"/>
        <w:spacing w:after="0" w:line="240" w:lineRule="auto"/>
        <w:rPr>
          <w:color w:val="000000"/>
          <w:sz w:val="24"/>
          <w:szCs w:val="24"/>
          <w:u w:color="000000"/>
        </w:rPr>
      </w:pPr>
    </w:p>
    <w:p>
      <w:pPr>
        <w:pStyle w:val="Body"/>
        <w:shd w:val="clear" w:color="auto" w:fill="ffffff"/>
        <w:spacing w:after="0" w:line="240" w:lineRule="auto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The IRS states it's the donor's responsibility to determine the value of the donation.</w:t>
      </w:r>
      <w:r>
        <w:rPr>
          <w:color w:val="000000"/>
          <w:sz w:val="24"/>
          <w:szCs w:val="24"/>
          <w:u w:color="000000"/>
          <w:rtl w:val="0"/>
        </w:rPr>
        <w:t xml:space="preserve">  </w:t>
      </w:r>
      <w:r>
        <w:rPr>
          <w:color w:val="000000"/>
          <w:sz w:val="24"/>
          <w:szCs w:val="24"/>
          <w:u w:color="000000"/>
          <w:rtl w:val="0"/>
          <w:lang w:val="en-US"/>
        </w:rPr>
        <w:t xml:space="preserve">Items donated to Monarch HS </w:t>
      </w:r>
      <w:r>
        <w:rPr>
          <w:color w:val="000000"/>
          <w:sz w:val="24"/>
          <w:szCs w:val="24"/>
          <w:u w:color="000000"/>
          <w:rtl w:val="0"/>
          <w:lang w:val="en-US"/>
        </w:rPr>
        <w:t>Band</w:t>
      </w:r>
      <w:r>
        <w:rPr>
          <w:color w:val="000000"/>
          <w:sz w:val="24"/>
          <w:szCs w:val="24"/>
          <w:u w:color="000000"/>
          <w:rtl w:val="0"/>
          <w:lang w:val="en-US"/>
        </w:rPr>
        <w:t xml:space="preserve"> Boosters may be deductible for income tax purposes at their fair market value.</w:t>
      </w:r>
      <w:r>
        <w:rPr>
          <w:color w:val="000000"/>
          <w:sz w:val="24"/>
          <w:szCs w:val="24"/>
          <w:u w:color="000000"/>
          <w:rtl w:val="0"/>
        </w:rPr>
        <w:t xml:space="preserve">  </w:t>
      </w:r>
      <w:r>
        <w:rPr>
          <w:color w:val="000000"/>
          <w:sz w:val="24"/>
          <w:szCs w:val="24"/>
          <w:u w:color="000000"/>
          <w:rtl w:val="0"/>
          <w:lang w:val="en-US"/>
        </w:rPr>
        <w:t>The US Internal Revenue Service (IRS) requires donors to value their donated items rather than the agency receiving the donated item.</w:t>
      </w:r>
      <w:r>
        <w:rPr>
          <w:color w:val="000000"/>
          <w:sz w:val="24"/>
          <w:szCs w:val="24"/>
          <w:u w:color="000000"/>
          <w:rtl w:val="0"/>
        </w:rPr>
        <w:t xml:space="preserve">  </w:t>
      </w:r>
      <w:r>
        <w:rPr>
          <w:color w:val="000000"/>
          <w:sz w:val="24"/>
          <w:szCs w:val="24"/>
          <w:u w:color="000000"/>
          <w:rtl w:val="0"/>
          <w:lang w:val="en-US"/>
        </w:rPr>
        <w:t>The IRS generally defines "fair market value" as the price at which property would change hands between a willing buyer and a willing seller, neither having to buy or sell and both having reasonable knowledge of all relevant facts.</w:t>
      </w:r>
      <w:r>
        <w:rPr>
          <w:color w:val="000000"/>
          <w:sz w:val="24"/>
          <w:szCs w:val="24"/>
          <w:u w:color="000000"/>
          <w:rtl w:val="0"/>
        </w:rPr>
        <w:t xml:space="preserve">  </w:t>
      </w:r>
      <w:r>
        <w:rPr>
          <w:color w:val="000000"/>
          <w:sz w:val="24"/>
          <w:szCs w:val="24"/>
          <w:u w:color="000000"/>
          <w:rtl w:val="0"/>
          <w:lang w:val="en-US"/>
        </w:rPr>
        <w:t>The rules governing valuation, record keeping and reporting can be complex and we recommend obtaining IRS publications 526 and 561 and/or consulting a tax advisor if your situation so warrants.</w:t>
      </w:r>
      <w:r>
        <w:rPr>
          <w:color w:val="000000"/>
          <w:sz w:val="24"/>
          <w:szCs w:val="24"/>
          <w:u w:color="000000"/>
          <w:rtl w:val="0"/>
        </w:rPr>
        <w:t xml:space="preserve">  </w:t>
      </w:r>
      <w:r>
        <w:rPr>
          <w:color w:val="000000"/>
          <w:sz w:val="24"/>
          <w:szCs w:val="24"/>
          <w:u w:color="000000"/>
          <w:rtl w:val="0"/>
          <w:lang w:val="en-US"/>
        </w:rPr>
        <w:t>Please understand that we do not provide tax advice.</w:t>
      </w:r>
      <w:r>
        <w:rPr>
          <w:color w:val="000000"/>
          <w:sz w:val="24"/>
          <w:szCs w:val="24"/>
          <w:u w:color="000000"/>
          <w:rtl w:val="0"/>
        </w:rPr>
        <w:t xml:space="preserve">  </w:t>
      </w:r>
      <w:r>
        <w:rPr>
          <w:color w:val="000000"/>
          <w:sz w:val="24"/>
          <w:szCs w:val="24"/>
          <w:u w:color="000000"/>
          <w:rtl w:val="0"/>
          <w:lang w:val="en-US"/>
        </w:rPr>
        <w:t xml:space="preserve">No goods or services were provided by Monarch HS </w:t>
      </w:r>
      <w:r>
        <w:rPr>
          <w:color w:val="000000"/>
          <w:sz w:val="24"/>
          <w:szCs w:val="24"/>
          <w:u w:color="000000"/>
          <w:rtl w:val="0"/>
          <w:lang w:val="en-US"/>
        </w:rPr>
        <w:t>Band</w:t>
      </w:r>
      <w:r>
        <w:rPr>
          <w:color w:val="000000"/>
          <w:sz w:val="24"/>
          <w:szCs w:val="24"/>
          <w:u w:color="000000"/>
          <w:rtl w:val="0"/>
          <w:lang w:val="nl-NL"/>
        </w:rPr>
        <w:t xml:space="preserve"> Boosters.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